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4C00" w14:textId="77777777" w:rsidR="00325789" w:rsidRPr="00070492" w:rsidRDefault="00EB3715" w:rsidP="00EB3715">
      <w:pPr>
        <w:jc w:val="center"/>
        <w:rPr>
          <w:rFonts w:asciiTheme="majorBidi" w:hAnsiTheme="majorBidi" w:cstheme="majorBidi"/>
          <w:b/>
          <w:bCs/>
          <w:sz w:val="32"/>
          <w:szCs w:val="32"/>
          <w:lang w:val="en-GB"/>
        </w:rPr>
      </w:pPr>
      <w:r w:rsidRPr="00070492">
        <w:rPr>
          <w:rFonts w:asciiTheme="majorBidi" w:hAnsiTheme="majorBidi" w:cstheme="majorBidi"/>
          <w:b/>
          <w:bCs/>
          <w:sz w:val="32"/>
          <w:szCs w:val="32"/>
          <w:lang w:val="en-GB"/>
        </w:rPr>
        <w:t>TWINNING PROJET ABSTRACT</w:t>
      </w:r>
    </w:p>
    <w:p w14:paraId="74637F94" w14:textId="77777777" w:rsidR="00EB3715" w:rsidRDefault="00EB3715" w:rsidP="00C22A84">
      <w:pPr>
        <w:jc w:val="center"/>
        <w:rPr>
          <w:rFonts w:asciiTheme="majorBidi" w:hAnsiTheme="majorBidi" w:cstheme="majorBidi"/>
          <w:b/>
          <w:bCs/>
          <w:sz w:val="28"/>
          <w:szCs w:val="28"/>
          <w:lang w:val="en-GB"/>
        </w:rPr>
      </w:pPr>
      <w:r w:rsidRPr="00070492">
        <w:rPr>
          <w:rFonts w:asciiTheme="majorBidi" w:hAnsiTheme="majorBidi" w:cstheme="majorBidi"/>
          <w:b/>
          <w:bCs/>
          <w:sz w:val="28"/>
          <w:szCs w:val="28"/>
          <w:lang w:val="en-GB"/>
        </w:rPr>
        <w:t>“</w:t>
      </w:r>
      <w:r w:rsidR="00C22A84" w:rsidRPr="00C22A84">
        <w:rPr>
          <w:rFonts w:asciiTheme="majorBidi" w:hAnsiTheme="majorBidi" w:cstheme="majorBidi"/>
          <w:b/>
          <w:bCs/>
          <w:sz w:val="28"/>
          <w:szCs w:val="28"/>
          <w:lang w:val="en-GB"/>
        </w:rPr>
        <w:t>Strengthening the capacities of the Court of Accounts of the Kingdom of Morocco in State accounts certification, evaluation of public programmes and projects, and assessment of budget execution.</w:t>
      </w:r>
      <w:r w:rsidRPr="00070492">
        <w:rPr>
          <w:rFonts w:asciiTheme="majorBidi" w:hAnsiTheme="majorBidi" w:cstheme="majorBidi"/>
          <w:b/>
          <w:bCs/>
          <w:sz w:val="28"/>
          <w:szCs w:val="28"/>
          <w:lang w:val="en-GB"/>
        </w:rPr>
        <w:t>”</w:t>
      </w:r>
    </w:p>
    <w:p w14:paraId="282239F7" w14:textId="77777777" w:rsidR="00604C80" w:rsidRPr="00070492" w:rsidRDefault="00604C80" w:rsidP="00C22A84">
      <w:pPr>
        <w:jc w:val="center"/>
        <w:rPr>
          <w:sz w:val="20"/>
          <w:szCs w:val="20"/>
          <w:lang w:val="en-GB"/>
        </w:rPr>
      </w:pPr>
      <w:r w:rsidRPr="00C72A89">
        <w:rPr>
          <w:rFonts w:ascii="Times New Roman" w:eastAsia="Calibri" w:hAnsi="Times New Roman" w:cs="Arial"/>
          <w:b/>
          <w:sz w:val="24"/>
          <w:lang w:val="en-GB"/>
        </w:rPr>
        <w:t>MA 22 NDICI FI 01 25 TWL</w:t>
      </w:r>
    </w:p>
    <w:p w14:paraId="44169378" w14:textId="77777777" w:rsidR="00EB3715" w:rsidRPr="00070492" w:rsidRDefault="00EB3715" w:rsidP="00EB3715">
      <w:pPr>
        <w:jc w:val="center"/>
        <w:rPr>
          <w:rFonts w:asciiTheme="majorBidi" w:hAnsiTheme="majorBidi" w:cstheme="majorBidi"/>
          <w:b/>
          <w:bCs/>
          <w:sz w:val="28"/>
          <w:szCs w:val="28"/>
          <w:lang w:val="en-GB"/>
        </w:rPr>
      </w:pPr>
      <w:r w:rsidRPr="00070492">
        <w:rPr>
          <w:rFonts w:asciiTheme="majorBidi" w:hAnsiTheme="majorBidi" w:cstheme="majorBidi"/>
          <w:b/>
          <w:bCs/>
          <w:sz w:val="28"/>
          <w:szCs w:val="28"/>
          <w:lang w:val="en-GB"/>
        </w:rPr>
        <w:t>Kingdom of Morocco</w:t>
      </w:r>
    </w:p>
    <w:p w14:paraId="31243B29" w14:textId="77777777" w:rsidR="00EB3715" w:rsidRPr="00070492" w:rsidRDefault="00EB3715" w:rsidP="00EB3715">
      <w:pPr>
        <w:jc w:val="center"/>
        <w:rPr>
          <w:rFonts w:asciiTheme="majorBidi" w:hAnsiTheme="majorBidi" w:cstheme="majorBidi"/>
          <w:b/>
          <w:bCs/>
          <w:sz w:val="28"/>
          <w:szCs w:val="28"/>
          <w:lang w:val="en-GB"/>
        </w:rPr>
      </w:pPr>
    </w:p>
    <w:p w14:paraId="55FE6232" w14:textId="77777777" w:rsidR="00EB3715" w:rsidRPr="00070492" w:rsidRDefault="00EB3715" w:rsidP="00C22A84">
      <w:pPr>
        <w:jc w:val="both"/>
        <w:rPr>
          <w:rFonts w:asciiTheme="majorBidi" w:hAnsiTheme="majorBidi" w:cstheme="majorBidi"/>
          <w:b/>
          <w:bCs/>
          <w:sz w:val="24"/>
          <w:szCs w:val="24"/>
          <w:lang w:val="en-GB"/>
        </w:rPr>
      </w:pPr>
      <w:r w:rsidRPr="00070492">
        <w:rPr>
          <w:rFonts w:asciiTheme="majorBidi" w:hAnsiTheme="majorBidi" w:cstheme="majorBidi"/>
          <w:b/>
          <w:bCs/>
          <w:sz w:val="24"/>
          <w:szCs w:val="24"/>
          <w:lang w:val="en-GB"/>
        </w:rPr>
        <w:t xml:space="preserve">Beneficiary Authority: </w:t>
      </w:r>
      <w:r w:rsidR="00C22A84" w:rsidRPr="00C22A84">
        <w:rPr>
          <w:rFonts w:asciiTheme="majorBidi" w:hAnsiTheme="majorBidi" w:cstheme="majorBidi"/>
          <w:b/>
          <w:bCs/>
          <w:sz w:val="24"/>
          <w:szCs w:val="24"/>
          <w:lang w:val="en-GB"/>
        </w:rPr>
        <w:t xml:space="preserve">Court of Accounts </w:t>
      </w:r>
      <w:r w:rsidRPr="00070492">
        <w:rPr>
          <w:rFonts w:asciiTheme="majorBidi" w:hAnsiTheme="majorBidi" w:cstheme="majorBidi"/>
          <w:sz w:val="24"/>
          <w:szCs w:val="24"/>
          <w:lang w:val="en-GB"/>
        </w:rPr>
        <w:t>(</w:t>
      </w:r>
      <w:r w:rsidR="00C22A84">
        <w:rPr>
          <w:rFonts w:asciiTheme="majorBidi" w:hAnsiTheme="majorBidi" w:cstheme="majorBidi"/>
          <w:sz w:val="24"/>
          <w:szCs w:val="24"/>
          <w:lang w:val="en-GB"/>
        </w:rPr>
        <w:t>Cour des comptes</w:t>
      </w:r>
      <w:r w:rsidRPr="00070492">
        <w:rPr>
          <w:rFonts w:asciiTheme="majorBidi" w:hAnsiTheme="majorBidi" w:cstheme="majorBidi"/>
          <w:sz w:val="24"/>
          <w:szCs w:val="24"/>
          <w:lang w:val="en-GB"/>
        </w:rPr>
        <w:t>)</w:t>
      </w:r>
    </w:p>
    <w:p w14:paraId="1B09EAE3" w14:textId="77777777" w:rsidR="00EB3715" w:rsidRPr="00C710AD" w:rsidRDefault="00EB3715" w:rsidP="00EB3715">
      <w:pPr>
        <w:jc w:val="both"/>
        <w:rPr>
          <w:rFonts w:asciiTheme="majorBidi" w:hAnsiTheme="majorBidi" w:cstheme="majorBidi"/>
          <w:b/>
          <w:bCs/>
          <w:sz w:val="24"/>
          <w:szCs w:val="24"/>
          <w:lang w:val="en-GB"/>
        </w:rPr>
      </w:pPr>
    </w:p>
    <w:p w14:paraId="6684CE52" w14:textId="77777777" w:rsidR="00C22A84" w:rsidRPr="00C22A84" w:rsidRDefault="00C22A84" w:rsidP="00C22A84">
      <w:pPr>
        <w:spacing w:before="240" w:after="240"/>
        <w:jc w:val="both"/>
        <w:rPr>
          <w:rFonts w:asciiTheme="majorBidi" w:hAnsiTheme="majorBidi" w:cstheme="majorBidi"/>
          <w:sz w:val="24"/>
          <w:szCs w:val="24"/>
          <w:lang w:val="en-GB"/>
        </w:rPr>
      </w:pPr>
      <w:r w:rsidRPr="00C22A84">
        <w:rPr>
          <w:rFonts w:asciiTheme="majorBidi" w:hAnsiTheme="majorBidi" w:cstheme="majorBidi"/>
          <w:sz w:val="24"/>
          <w:szCs w:val="24"/>
          <w:lang w:val="en-GB"/>
        </w:rPr>
        <w:t xml:space="preserve">This twinning light project falls within the framework of the </w:t>
      </w:r>
      <w:r w:rsidRPr="00C22A84">
        <w:rPr>
          <w:rFonts w:asciiTheme="majorBidi" w:hAnsiTheme="majorBidi" w:cstheme="majorBidi"/>
          <w:b/>
          <w:bCs/>
          <w:sz w:val="24"/>
          <w:szCs w:val="24"/>
          <w:lang w:val="en-GB"/>
        </w:rPr>
        <w:t>Technical Cooperation Facility (TCF) – Morocco</w:t>
      </w:r>
      <w:r w:rsidRPr="00C22A84">
        <w:rPr>
          <w:rFonts w:asciiTheme="majorBidi" w:hAnsiTheme="majorBidi" w:cstheme="majorBidi"/>
          <w:sz w:val="24"/>
          <w:szCs w:val="24"/>
          <w:lang w:val="en-GB"/>
        </w:rPr>
        <w:t xml:space="preserve">, under decision no. </w:t>
      </w:r>
      <w:r w:rsidRPr="00C22A84">
        <w:rPr>
          <w:rFonts w:asciiTheme="majorBidi" w:hAnsiTheme="majorBidi" w:cstheme="majorBidi"/>
          <w:b/>
          <w:bCs/>
          <w:sz w:val="24"/>
          <w:szCs w:val="24"/>
          <w:lang w:val="en-GB"/>
        </w:rPr>
        <w:t>NDICI-GEO-NEAR/2022/ACT-61040</w:t>
      </w:r>
      <w:r w:rsidRPr="00C22A84">
        <w:rPr>
          <w:rFonts w:asciiTheme="majorBidi" w:hAnsiTheme="majorBidi" w:cstheme="majorBidi"/>
          <w:sz w:val="24"/>
          <w:szCs w:val="24"/>
          <w:lang w:val="en-GB"/>
        </w:rPr>
        <w:t xml:space="preserve">, and will be implemented under </w:t>
      </w:r>
      <w:r w:rsidRPr="00C22A84">
        <w:rPr>
          <w:rFonts w:asciiTheme="majorBidi" w:hAnsiTheme="majorBidi" w:cstheme="majorBidi"/>
          <w:b/>
          <w:bCs/>
          <w:sz w:val="24"/>
          <w:szCs w:val="24"/>
          <w:lang w:val="en-GB"/>
        </w:rPr>
        <w:t>indirect management with the Moroccan authorities</w:t>
      </w:r>
      <w:r w:rsidRPr="00C22A84">
        <w:rPr>
          <w:rFonts w:asciiTheme="majorBidi" w:hAnsiTheme="majorBidi" w:cstheme="majorBidi"/>
          <w:sz w:val="24"/>
          <w:szCs w:val="24"/>
          <w:lang w:val="en-GB"/>
        </w:rPr>
        <w:t>.</w:t>
      </w:r>
      <w:r w:rsidRPr="00C22A84">
        <w:rPr>
          <w:rFonts w:asciiTheme="majorBidi" w:hAnsiTheme="majorBidi" w:cstheme="majorBidi"/>
          <w:sz w:val="24"/>
          <w:szCs w:val="24"/>
          <w:lang w:val="en-GB"/>
        </w:rPr>
        <w:br/>
        <w:t xml:space="preserve">It belongs to the </w:t>
      </w:r>
      <w:r w:rsidRPr="00C22A84">
        <w:rPr>
          <w:rFonts w:asciiTheme="majorBidi" w:hAnsiTheme="majorBidi" w:cstheme="majorBidi"/>
          <w:b/>
          <w:bCs/>
          <w:sz w:val="24"/>
          <w:szCs w:val="24"/>
          <w:lang w:val="en-GB"/>
        </w:rPr>
        <w:t>"Financial control, internal market and economic criteria"</w:t>
      </w:r>
      <w:r w:rsidRPr="00C22A84">
        <w:rPr>
          <w:rFonts w:asciiTheme="majorBidi" w:hAnsiTheme="majorBidi" w:cstheme="majorBidi"/>
          <w:sz w:val="24"/>
          <w:szCs w:val="24"/>
          <w:lang w:val="en-GB"/>
        </w:rPr>
        <w:t xml:space="preserve"> sector.</w:t>
      </w:r>
      <w:r w:rsidRPr="00C22A84">
        <w:rPr>
          <w:rFonts w:asciiTheme="majorBidi" w:hAnsiTheme="majorBidi" w:cstheme="majorBidi"/>
          <w:sz w:val="24"/>
          <w:szCs w:val="24"/>
          <w:lang w:val="en-GB"/>
        </w:rPr>
        <w:br/>
        <w:t xml:space="preserve">The specific objective of this twinning is to support the </w:t>
      </w:r>
      <w:r w:rsidRPr="00C22A84">
        <w:rPr>
          <w:rFonts w:asciiTheme="majorBidi" w:hAnsiTheme="majorBidi" w:cstheme="majorBidi"/>
          <w:b/>
          <w:bCs/>
          <w:sz w:val="24"/>
          <w:szCs w:val="24"/>
          <w:lang w:val="en-GB"/>
        </w:rPr>
        <w:t>Court of Accounts of the Kingdom of Morocco</w:t>
      </w:r>
      <w:r w:rsidRPr="00C22A84">
        <w:rPr>
          <w:rFonts w:asciiTheme="majorBidi" w:hAnsiTheme="majorBidi" w:cstheme="majorBidi"/>
          <w:sz w:val="24"/>
          <w:szCs w:val="24"/>
          <w:lang w:val="en-GB"/>
        </w:rPr>
        <w:t xml:space="preserve"> in strengthening its professional and technical capacities to carry out its mandate in accordance with best international standards and the practices of leading Supreme Audit Institutions (SAIs). The project aligns with the overall goal of enhancing public financial governance in Morocco by reinforcing the role of the Court in its oversight functions.</w:t>
      </w:r>
    </w:p>
    <w:p w14:paraId="0FEC010D" w14:textId="77777777" w:rsidR="00C22A84" w:rsidRPr="00C22A84" w:rsidRDefault="00C22A84" w:rsidP="00C22A84">
      <w:pPr>
        <w:spacing w:before="240" w:after="240"/>
        <w:jc w:val="both"/>
        <w:rPr>
          <w:rFonts w:asciiTheme="majorBidi" w:hAnsiTheme="majorBidi" w:cstheme="majorBidi"/>
          <w:sz w:val="24"/>
          <w:szCs w:val="24"/>
          <w:lang w:val="en-GB"/>
        </w:rPr>
      </w:pPr>
      <w:r w:rsidRPr="00C22A84">
        <w:rPr>
          <w:rFonts w:asciiTheme="majorBidi" w:hAnsiTheme="majorBidi" w:cstheme="majorBidi"/>
          <w:sz w:val="24"/>
          <w:szCs w:val="24"/>
          <w:lang w:val="en-GB"/>
        </w:rPr>
        <w:t>The twinning will take place in a context where the Court’s powers have recently been expanded to new and technically demanding areas, such as the certification of the State accounts (effective since 2020), the evaluation of public programmes and projects, and the assessment of State budget execution. These domains require progressive institutionalisation and continued support by partners with proven expertise, given their complexity and the long learning curve they involve.</w:t>
      </w:r>
    </w:p>
    <w:p w14:paraId="6BF0FA5B" w14:textId="77777777" w:rsidR="00C22A84" w:rsidRPr="00C22A84" w:rsidRDefault="00C22A84" w:rsidP="00C22A84">
      <w:pPr>
        <w:spacing w:before="240" w:after="240"/>
        <w:jc w:val="both"/>
        <w:rPr>
          <w:rFonts w:asciiTheme="majorBidi" w:hAnsiTheme="majorBidi" w:cstheme="majorBidi"/>
          <w:sz w:val="24"/>
          <w:szCs w:val="24"/>
          <w:lang w:val="en-GB"/>
        </w:rPr>
      </w:pPr>
      <w:r w:rsidRPr="00C22A84">
        <w:rPr>
          <w:rFonts w:asciiTheme="majorBidi" w:hAnsiTheme="majorBidi" w:cstheme="majorBidi"/>
          <w:sz w:val="24"/>
          <w:szCs w:val="24"/>
          <w:lang w:val="en-GB"/>
        </w:rPr>
        <w:t>The project consists of three main components:</w:t>
      </w:r>
    </w:p>
    <w:p w14:paraId="16C15C76" w14:textId="77777777" w:rsidR="00C22A84" w:rsidRPr="00C22A84" w:rsidRDefault="00C22A84" w:rsidP="00C22A84">
      <w:pPr>
        <w:numPr>
          <w:ilvl w:val="0"/>
          <w:numId w:val="3"/>
        </w:numPr>
        <w:spacing w:before="240" w:after="240"/>
        <w:jc w:val="both"/>
        <w:rPr>
          <w:rFonts w:asciiTheme="majorBidi" w:hAnsiTheme="majorBidi" w:cstheme="majorBidi"/>
          <w:sz w:val="24"/>
          <w:szCs w:val="24"/>
          <w:lang w:val="en-GB"/>
        </w:rPr>
      </w:pPr>
      <w:r w:rsidRPr="00C22A84">
        <w:rPr>
          <w:rFonts w:asciiTheme="majorBidi" w:hAnsiTheme="majorBidi" w:cstheme="majorBidi"/>
          <w:b/>
          <w:bCs/>
          <w:sz w:val="24"/>
          <w:szCs w:val="24"/>
          <w:lang w:val="en-GB"/>
        </w:rPr>
        <w:t>Strengthening the Court’s capacity for State accounts certification</w:t>
      </w:r>
      <w:r w:rsidRPr="00C22A84">
        <w:rPr>
          <w:rFonts w:asciiTheme="majorBidi" w:hAnsiTheme="majorBidi" w:cstheme="majorBidi"/>
          <w:sz w:val="24"/>
          <w:szCs w:val="24"/>
          <w:lang w:val="en-GB"/>
        </w:rPr>
        <w:t>, in line with international auditing standards and good practices;</w:t>
      </w:r>
    </w:p>
    <w:p w14:paraId="1304E7D2" w14:textId="77777777" w:rsidR="00C22A84" w:rsidRPr="00C22A84" w:rsidRDefault="00C22A84" w:rsidP="00C22A84">
      <w:pPr>
        <w:numPr>
          <w:ilvl w:val="0"/>
          <w:numId w:val="3"/>
        </w:numPr>
        <w:spacing w:before="240" w:after="240"/>
        <w:jc w:val="both"/>
        <w:rPr>
          <w:rFonts w:asciiTheme="majorBidi" w:hAnsiTheme="majorBidi" w:cstheme="majorBidi"/>
          <w:sz w:val="24"/>
          <w:szCs w:val="24"/>
          <w:lang w:val="en-GB"/>
        </w:rPr>
      </w:pPr>
      <w:r w:rsidRPr="00C22A84">
        <w:rPr>
          <w:rFonts w:asciiTheme="majorBidi" w:hAnsiTheme="majorBidi" w:cstheme="majorBidi"/>
          <w:b/>
          <w:bCs/>
          <w:sz w:val="24"/>
          <w:szCs w:val="24"/>
          <w:lang w:val="en-GB"/>
        </w:rPr>
        <w:t>Improving the Court’s ability to evaluate the performance of public programmes and projects</w:t>
      </w:r>
      <w:r w:rsidRPr="00C22A84">
        <w:rPr>
          <w:rFonts w:asciiTheme="majorBidi" w:hAnsiTheme="majorBidi" w:cstheme="majorBidi"/>
          <w:sz w:val="24"/>
          <w:szCs w:val="24"/>
          <w:lang w:val="en-GB"/>
        </w:rPr>
        <w:t>, with a focus on inclusive development and alignment with performance-based budgeting principles;</w:t>
      </w:r>
    </w:p>
    <w:p w14:paraId="3E3E2BAC" w14:textId="77777777" w:rsidR="00C22A84" w:rsidRPr="00C22A84" w:rsidRDefault="00C22A84" w:rsidP="00C22A84">
      <w:pPr>
        <w:numPr>
          <w:ilvl w:val="0"/>
          <w:numId w:val="3"/>
        </w:numPr>
        <w:spacing w:before="240" w:after="240"/>
        <w:jc w:val="both"/>
        <w:rPr>
          <w:rFonts w:asciiTheme="majorBidi" w:hAnsiTheme="majorBidi" w:cstheme="majorBidi"/>
          <w:sz w:val="24"/>
          <w:szCs w:val="24"/>
          <w:lang w:val="en-GB"/>
        </w:rPr>
      </w:pPr>
      <w:r w:rsidRPr="00C22A84">
        <w:rPr>
          <w:rFonts w:asciiTheme="majorBidi" w:hAnsiTheme="majorBidi" w:cstheme="majorBidi"/>
          <w:b/>
          <w:bCs/>
          <w:sz w:val="24"/>
          <w:szCs w:val="24"/>
          <w:lang w:val="en-GB"/>
        </w:rPr>
        <w:t>Enhancing the Court’s expertise in the assessment of State budget execution</w:t>
      </w:r>
      <w:r w:rsidRPr="00C22A84">
        <w:rPr>
          <w:rFonts w:asciiTheme="majorBidi" w:hAnsiTheme="majorBidi" w:cstheme="majorBidi"/>
          <w:sz w:val="24"/>
          <w:szCs w:val="24"/>
          <w:lang w:val="en-GB"/>
        </w:rPr>
        <w:t>, particularly regarding transparency, accountability, and performance.</w:t>
      </w:r>
    </w:p>
    <w:p w14:paraId="721E2ACA" w14:textId="77777777" w:rsidR="00070492" w:rsidRPr="00070492" w:rsidRDefault="00070492" w:rsidP="00C22A84">
      <w:pPr>
        <w:spacing w:before="240" w:after="240"/>
        <w:jc w:val="both"/>
        <w:rPr>
          <w:rFonts w:asciiTheme="majorBidi" w:hAnsiTheme="majorBidi" w:cstheme="majorBidi"/>
          <w:sz w:val="24"/>
          <w:szCs w:val="24"/>
          <w:lang w:val="en-GB"/>
        </w:rPr>
      </w:pPr>
      <w:r w:rsidRPr="00070492">
        <w:rPr>
          <w:rFonts w:asciiTheme="majorBidi" w:hAnsiTheme="majorBidi" w:cstheme="majorBidi"/>
          <w:sz w:val="24"/>
          <w:szCs w:val="24"/>
          <w:lang w:val="en-GB"/>
        </w:rPr>
        <w:t>The components will be implemented through studies (analyses, reviews, benchmarking,</w:t>
      </w:r>
      <w:r>
        <w:rPr>
          <w:rFonts w:asciiTheme="majorBidi" w:hAnsiTheme="majorBidi" w:cstheme="majorBidi"/>
          <w:sz w:val="24"/>
          <w:szCs w:val="24"/>
          <w:lang w:val="en-GB"/>
        </w:rPr>
        <w:t xml:space="preserve"> </w:t>
      </w:r>
      <w:r w:rsidRPr="00070492">
        <w:rPr>
          <w:rFonts w:asciiTheme="majorBidi" w:hAnsiTheme="majorBidi" w:cstheme="majorBidi"/>
          <w:sz w:val="24"/>
          <w:szCs w:val="24"/>
          <w:lang w:val="en-GB"/>
        </w:rPr>
        <w:t>diagnoses, evaluations, and so on), surveys, trainings, study tours, round tables, seminars, etc.</w:t>
      </w:r>
    </w:p>
    <w:p w14:paraId="0A5C8843" w14:textId="2EDCD966" w:rsidR="008A23E0" w:rsidRPr="00070492" w:rsidRDefault="00C22A84" w:rsidP="00736189">
      <w:pPr>
        <w:spacing w:before="240" w:after="240"/>
        <w:jc w:val="both"/>
        <w:rPr>
          <w:rFonts w:asciiTheme="majorBidi" w:hAnsiTheme="majorBidi" w:cstheme="majorBidi"/>
          <w:sz w:val="24"/>
          <w:szCs w:val="24"/>
          <w:lang w:val="en-GB"/>
        </w:rPr>
      </w:pPr>
      <w:r w:rsidRPr="00C22A84">
        <w:rPr>
          <w:rFonts w:asciiTheme="majorBidi" w:hAnsiTheme="majorBidi" w:cstheme="majorBidi"/>
          <w:sz w:val="24"/>
          <w:szCs w:val="24"/>
          <w:lang w:val="en-GB"/>
        </w:rPr>
        <w:t xml:space="preserve">The </w:t>
      </w:r>
      <w:r w:rsidRPr="00C22A84">
        <w:rPr>
          <w:rFonts w:asciiTheme="majorBidi" w:hAnsiTheme="majorBidi" w:cstheme="majorBidi"/>
          <w:b/>
          <w:bCs/>
          <w:sz w:val="24"/>
          <w:szCs w:val="24"/>
          <w:lang w:val="en-GB"/>
        </w:rPr>
        <w:t>maximum EU grant</w:t>
      </w:r>
      <w:r w:rsidRPr="00C22A84">
        <w:rPr>
          <w:rFonts w:asciiTheme="majorBidi" w:hAnsiTheme="majorBidi" w:cstheme="majorBidi"/>
          <w:sz w:val="24"/>
          <w:szCs w:val="24"/>
          <w:lang w:val="en-GB"/>
        </w:rPr>
        <w:t xml:space="preserve"> allocated for this project amounts to </w:t>
      </w:r>
      <w:r w:rsidRPr="00C22A84">
        <w:rPr>
          <w:rFonts w:asciiTheme="majorBidi" w:hAnsiTheme="majorBidi" w:cstheme="majorBidi"/>
          <w:b/>
          <w:bCs/>
          <w:sz w:val="24"/>
          <w:szCs w:val="24"/>
          <w:lang w:val="en-GB"/>
        </w:rPr>
        <w:t>EUR 250,000</w:t>
      </w:r>
      <w:r w:rsidRPr="00C22A84">
        <w:rPr>
          <w:rFonts w:asciiTheme="majorBidi" w:hAnsiTheme="majorBidi" w:cstheme="majorBidi"/>
          <w:sz w:val="24"/>
          <w:szCs w:val="24"/>
          <w:lang w:val="en-GB"/>
        </w:rPr>
        <w:t>.</w:t>
      </w:r>
      <w:r w:rsidR="00070492" w:rsidRPr="00070492">
        <w:rPr>
          <w:rFonts w:asciiTheme="majorBidi" w:hAnsiTheme="majorBidi" w:cstheme="majorBidi"/>
          <w:sz w:val="24"/>
          <w:szCs w:val="24"/>
          <w:lang w:val="en-GB"/>
        </w:rPr>
        <w:t xml:space="preserve"> The deadline for submission of the</w:t>
      </w:r>
      <w:r w:rsidR="00070492">
        <w:rPr>
          <w:rFonts w:asciiTheme="majorBidi" w:hAnsiTheme="majorBidi" w:cstheme="majorBidi"/>
          <w:sz w:val="24"/>
          <w:szCs w:val="24"/>
          <w:lang w:val="en-GB"/>
        </w:rPr>
        <w:t xml:space="preserve"> </w:t>
      </w:r>
      <w:r w:rsidR="00070492" w:rsidRPr="00070492">
        <w:rPr>
          <w:rFonts w:asciiTheme="majorBidi" w:hAnsiTheme="majorBidi" w:cstheme="majorBidi"/>
          <w:sz w:val="24"/>
          <w:szCs w:val="24"/>
          <w:lang w:val="en-GB"/>
        </w:rPr>
        <w:t xml:space="preserve">twinning proposals to the Contracting Authority by the National Contact Points is </w:t>
      </w:r>
      <w:bookmarkStart w:id="0" w:name="_GoBack"/>
      <w:r w:rsidR="00736189">
        <w:rPr>
          <w:rFonts w:asciiTheme="majorBidi" w:hAnsiTheme="majorBidi" w:cstheme="majorBidi"/>
          <w:b/>
          <w:sz w:val="24"/>
          <w:szCs w:val="24"/>
          <w:lang w:val="en-GB"/>
        </w:rPr>
        <w:t>Monday</w:t>
      </w:r>
      <w:r w:rsidR="00C72A89">
        <w:rPr>
          <w:rFonts w:asciiTheme="majorBidi" w:hAnsiTheme="majorBidi" w:cstheme="majorBidi"/>
          <w:b/>
          <w:sz w:val="24"/>
          <w:szCs w:val="24"/>
          <w:lang w:val="en-GB"/>
        </w:rPr>
        <w:t xml:space="preserve">, 10 </w:t>
      </w:r>
      <w:proofErr w:type="spellStart"/>
      <w:r w:rsidR="00C72A89">
        <w:rPr>
          <w:rFonts w:asciiTheme="majorBidi" w:hAnsiTheme="majorBidi" w:cstheme="majorBidi"/>
          <w:b/>
          <w:sz w:val="24"/>
          <w:szCs w:val="24"/>
          <w:lang w:val="en-GB"/>
        </w:rPr>
        <w:t>novemb</w:t>
      </w:r>
      <w:r w:rsidR="00736189">
        <w:rPr>
          <w:rFonts w:asciiTheme="majorBidi" w:hAnsiTheme="majorBidi" w:cstheme="majorBidi"/>
          <w:b/>
          <w:sz w:val="24"/>
          <w:szCs w:val="24"/>
          <w:lang w:val="en-GB"/>
        </w:rPr>
        <w:t>er</w:t>
      </w:r>
      <w:proofErr w:type="spellEnd"/>
      <w:r w:rsidRPr="00604C80">
        <w:rPr>
          <w:rFonts w:asciiTheme="majorBidi" w:hAnsiTheme="majorBidi" w:cstheme="majorBidi"/>
          <w:b/>
          <w:sz w:val="24"/>
          <w:szCs w:val="24"/>
          <w:lang w:val="en-GB"/>
        </w:rPr>
        <w:t xml:space="preserve"> 2025</w:t>
      </w:r>
      <w:r w:rsidRPr="00C22A84">
        <w:rPr>
          <w:rFonts w:asciiTheme="majorBidi" w:hAnsiTheme="majorBidi" w:cstheme="majorBidi"/>
          <w:sz w:val="24"/>
          <w:szCs w:val="24"/>
          <w:lang w:val="en-GB"/>
        </w:rPr>
        <w:t xml:space="preserve"> </w:t>
      </w:r>
      <w:bookmarkEnd w:id="0"/>
      <w:r w:rsidR="00070492" w:rsidRPr="00070492">
        <w:rPr>
          <w:rFonts w:asciiTheme="majorBidi" w:hAnsiTheme="majorBidi" w:cstheme="majorBidi"/>
          <w:sz w:val="24"/>
          <w:szCs w:val="24"/>
          <w:lang w:val="en-GB"/>
        </w:rPr>
        <w:t xml:space="preserve">and the expected start date of implementation is </w:t>
      </w:r>
      <w:r w:rsidR="00672B4F">
        <w:rPr>
          <w:rFonts w:asciiTheme="majorBidi" w:hAnsiTheme="majorBidi" w:cstheme="majorBidi"/>
          <w:sz w:val="24"/>
          <w:szCs w:val="24"/>
          <w:lang w:val="en-GB"/>
        </w:rPr>
        <w:t>Monday, 19 January</w:t>
      </w:r>
      <w:r w:rsidR="00070492" w:rsidRPr="00070492">
        <w:rPr>
          <w:rFonts w:asciiTheme="majorBidi" w:hAnsiTheme="majorBidi" w:cstheme="majorBidi"/>
          <w:sz w:val="24"/>
          <w:szCs w:val="24"/>
          <w:lang w:val="en-GB"/>
        </w:rPr>
        <w:t xml:space="preserve"> 202</w:t>
      </w:r>
      <w:r w:rsidR="00672B4F">
        <w:rPr>
          <w:rFonts w:asciiTheme="majorBidi" w:hAnsiTheme="majorBidi" w:cstheme="majorBidi"/>
          <w:sz w:val="24"/>
          <w:szCs w:val="24"/>
          <w:lang w:val="en-GB"/>
        </w:rPr>
        <w:t>6</w:t>
      </w:r>
      <w:r w:rsidR="00070492" w:rsidRPr="00070492">
        <w:rPr>
          <w:rFonts w:asciiTheme="majorBidi" w:hAnsiTheme="majorBidi" w:cstheme="majorBidi"/>
          <w:sz w:val="24"/>
          <w:szCs w:val="24"/>
          <w:lang w:val="en-GB"/>
        </w:rPr>
        <w:t>. The duration of the project is</w:t>
      </w:r>
      <w:r w:rsidR="00070492">
        <w:rPr>
          <w:rFonts w:asciiTheme="majorBidi" w:hAnsiTheme="majorBidi" w:cstheme="majorBidi"/>
          <w:sz w:val="24"/>
          <w:szCs w:val="24"/>
          <w:lang w:val="en-GB"/>
        </w:rPr>
        <w:t xml:space="preserve"> </w:t>
      </w:r>
      <w:r>
        <w:rPr>
          <w:rFonts w:asciiTheme="majorBidi" w:hAnsiTheme="majorBidi" w:cstheme="majorBidi"/>
          <w:sz w:val="24"/>
          <w:szCs w:val="24"/>
          <w:lang w:val="en-GB"/>
        </w:rPr>
        <w:t>8 months.</w:t>
      </w:r>
    </w:p>
    <w:p w14:paraId="1AE43601" w14:textId="77777777" w:rsidR="008A23E0" w:rsidRPr="00070492" w:rsidRDefault="008A23E0" w:rsidP="008A23E0">
      <w:pPr>
        <w:jc w:val="both"/>
        <w:rPr>
          <w:rFonts w:asciiTheme="majorBidi" w:hAnsiTheme="majorBidi" w:cstheme="majorBidi"/>
          <w:sz w:val="24"/>
          <w:szCs w:val="24"/>
          <w:lang w:val="en-GB"/>
        </w:rPr>
      </w:pPr>
    </w:p>
    <w:sectPr w:rsidR="008A23E0" w:rsidRPr="000704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58364" w14:textId="77777777" w:rsidR="00C05065" w:rsidRDefault="00C05065" w:rsidP="00604C80">
      <w:pPr>
        <w:spacing w:after="0"/>
      </w:pPr>
      <w:r>
        <w:separator/>
      </w:r>
    </w:p>
  </w:endnote>
  <w:endnote w:type="continuationSeparator" w:id="0">
    <w:p w14:paraId="39349C09" w14:textId="77777777" w:rsidR="00C05065" w:rsidRDefault="00C05065" w:rsidP="00604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16AC" w14:textId="77777777" w:rsidR="00604C80" w:rsidRPr="00604C80" w:rsidRDefault="00604C80">
    <w:pPr>
      <w:pStyle w:val="Pieddepage"/>
      <w:rPr>
        <w:sz w:val="16"/>
        <w:szCs w:val="16"/>
      </w:rPr>
    </w:pPr>
    <w:r w:rsidRPr="00604C80">
      <w:rPr>
        <w:sz w:val="16"/>
        <w:szCs w:val="16"/>
      </w:rPr>
      <w:t>MA 22 NDICI FI 01 25 TWL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53F91" w14:textId="77777777" w:rsidR="00C05065" w:rsidRDefault="00C05065" w:rsidP="00604C80">
      <w:pPr>
        <w:spacing w:after="0"/>
      </w:pPr>
      <w:r>
        <w:separator/>
      </w:r>
    </w:p>
  </w:footnote>
  <w:footnote w:type="continuationSeparator" w:id="0">
    <w:p w14:paraId="380BF5E7" w14:textId="77777777" w:rsidR="00C05065" w:rsidRDefault="00C05065" w:rsidP="00604C8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7BE"/>
    <w:multiLevelType w:val="hybridMultilevel"/>
    <w:tmpl w:val="E9E49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936D93"/>
    <w:multiLevelType w:val="hybridMultilevel"/>
    <w:tmpl w:val="A59855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15F8A"/>
    <w:multiLevelType w:val="multilevel"/>
    <w:tmpl w:val="EB6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105E2"/>
    <w:rsid w:val="00070492"/>
    <w:rsid w:val="001D3BF7"/>
    <w:rsid w:val="002C0916"/>
    <w:rsid w:val="002C5470"/>
    <w:rsid w:val="00325789"/>
    <w:rsid w:val="00604C80"/>
    <w:rsid w:val="00672B4F"/>
    <w:rsid w:val="00736189"/>
    <w:rsid w:val="00760AA9"/>
    <w:rsid w:val="007E339A"/>
    <w:rsid w:val="00847C4E"/>
    <w:rsid w:val="008A23E0"/>
    <w:rsid w:val="008C1D0F"/>
    <w:rsid w:val="009471D5"/>
    <w:rsid w:val="00C05065"/>
    <w:rsid w:val="00C105E2"/>
    <w:rsid w:val="00C22A84"/>
    <w:rsid w:val="00C710AD"/>
    <w:rsid w:val="00C72A89"/>
    <w:rsid w:val="00D0446A"/>
    <w:rsid w:val="00E46D95"/>
    <w:rsid w:val="00EB3715"/>
    <w:rsid w:val="00ED654C"/>
    <w:rsid w:val="00F020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814E"/>
  <w15:docId w15:val="{393260F3-BC5E-4D92-BA18-5CC99BFD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65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0">
    <w:name w:val="STYLE10"/>
    <w:basedOn w:val="Normal"/>
    <w:link w:val="STYLE10Car"/>
    <w:rsid w:val="009471D5"/>
    <w:pPr>
      <w:bidi/>
      <w:spacing w:after="0"/>
      <w:jc w:val="both"/>
    </w:pPr>
    <w:rPr>
      <w:rFonts w:ascii="Sakkal Majalla" w:hAnsi="Sakkal Majalla"/>
      <w:b/>
      <w:sz w:val="26"/>
      <w:szCs w:val="24"/>
      <w:lang w:val="en-GB" w:bidi="ar-MA"/>
    </w:rPr>
  </w:style>
  <w:style w:type="character" w:customStyle="1" w:styleId="STYLE10Car">
    <w:name w:val="STYLE10 Car"/>
    <w:basedOn w:val="Policepardfaut"/>
    <w:link w:val="STYLE10"/>
    <w:rsid w:val="009471D5"/>
    <w:rPr>
      <w:rFonts w:ascii="Sakkal Majalla" w:hAnsi="Sakkal Majalla"/>
      <w:b/>
      <w:sz w:val="26"/>
      <w:szCs w:val="24"/>
      <w:lang w:val="en-GB" w:bidi="ar-MA"/>
    </w:rPr>
  </w:style>
  <w:style w:type="paragraph" w:customStyle="1" w:styleId="Stylebe">
    <w:name w:val="Stylebe"/>
    <w:basedOn w:val="Normal"/>
    <w:link w:val="StylebeCar"/>
    <w:rsid w:val="009471D5"/>
    <w:pPr>
      <w:bidi/>
      <w:spacing w:after="0"/>
      <w:jc w:val="both"/>
    </w:pPr>
    <w:rPr>
      <w:rFonts w:ascii="Sakkal Majalla" w:hAnsi="Sakkal Majalla" w:cs="Sakkal Majalla"/>
      <w:b/>
      <w:sz w:val="26"/>
      <w:szCs w:val="26"/>
      <w:lang w:val="en-GB" w:bidi="ar-MA"/>
    </w:rPr>
  </w:style>
  <w:style w:type="character" w:customStyle="1" w:styleId="StylebeCar">
    <w:name w:val="Stylebe Car"/>
    <w:basedOn w:val="Policepardfaut"/>
    <w:link w:val="Stylebe"/>
    <w:rsid w:val="009471D5"/>
    <w:rPr>
      <w:rFonts w:ascii="Sakkal Majalla" w:hAnsi="Sakkal Majalla" w:cs="Sakkal Majalla"/>
      <w:b/>
      <w:sz w:val="26"/>
      <w:szCs w:val="26"/>
      <w:lang w:val="en-GB" w:bidi="ar-MA"/>
    </w:rPr>
  </w:style>
  <w:style w:type="paragraph" w:customStyle="1" w:styleId="StyleBEN">
    <w:name w:val="StyleBEN"/>
    <w:basedOn w:val="Normal"/>
    <w:link w:val="StyleBENCar"/>
    <w:rsid w:val="009471D5"/>
    <w:pPr>
      <w:spacing w:before="120" w:after="0"/>
      <w:jc w:val="center"/>
    </w:pPr>
    <w:rPr>
      <w:rFonts w:ascii="Sakkal Majalla" w:hAnsi="Sakkal Majalla" w:cs="Sakkal Majalla"/>
      <w:b/>
      <w:bCs/>
      <w:sz w:val="28"/>
      <w:szCs w:val="28"/>
      <w:lang w:val="en-GB" w:bidi="ar-MA"/>
    </w:rPr>
  </w:style>
  <w:style w:type="character" w:customStyle="1" w:styleId="StyleBENCar">
    <w:name w:val="StyleBEN Car"/>
    <w:basedOn w:val="Policepardfaut"/>
    <w:link w:val="StyleBEN"/>
    <w:rsid w:val="009471D5"/>
    <w:rPr>
      <w:rFonts w:ascii="Sakkal Majalla" w:hAnsi="Sakkal Majalla" w:cs="Sakkal Majalla"/>
      <w:b/>
      <w:bCs/>
      <w:sz w:val="28"/>
      <w:szCs w:val="28"/>
      <w:lang w:val="en-GB" w:bidi="ar-MA"/>
    </w:rPr>
  </w:style>
  <w:style w:type="paragraph" w:customStyle="1" w:styleId="Stylebet">
    <w:name w:val="Stylebet"/>
    <w:basedOn w:val="Normal"/>
    <w:link w:val="StylebetCar"/>
    <w:rsid w:val="009471D5"/>
    <w:pPr>
      <w:tabs>
        <w:tab w:val="center" w:pos="3945"/>
        <w:tab w:val="left" w:pos="6735"/>
      </w:tabs>
      <w:bidi/>
      <w:spacing w:after="0"/>
      <w:ind w:left="1416"/>
      <w:jc w:val="center"/>
    </w:pPr>
    <w:rPr>
      <w:rFonts w:ascii="Sakkal Majalla" w:eastAsia="Calibri" w:hAnsi="Sakkal Majalla" w:cs="Sakkal Majalla"/>
      <w:b/>
      <w:bCs/>
      <w:sz w:val="40"/>
      <w:szCs w:val="40"/>
      <w:lang w:val="fr-MA" w:bidi="ar-MA"/>
    </w:rPr>
  </w:style>
  <w:style w:type="character" w:customStyle="1" w:styleId="StylebetCar">
    <w:name w:val="Stylebet Car"/>
    <w:basedOn w:val="Policepardfaut"/>
    <w:link w:val="Stylebet"/>
    <w:rsid w:val="009471D5"/>
    <w:rPr>
      <w:rFonts w:ascii="Sakkal Majalla" w:eastAsia="Calibri" w:hAnsi="Sakkal Majalla" w:cs="Sakkal Majalla"/>
      <w:b/>
      <w:bCs/>
      <w:sz w:val="40"/>
      <w:szCs w:val="40"/>
      <w:lang w:val="fr-MA" w:bidi="ar-MA"/>
    </w:rPr>
  </w:style>
  <w:style w:type="paragraph" w:customStyle="1" w:styleId="Stylebeaf">
    <w:name w:val="Stylebeaf"/>
    <w:basedOn w:val="Stylebeaa"/>
    <w:link w:val="StylebeafCar"/>
    <w:rsid w:val="009471D5"/>
    <w:rPr>
      <w:rFonts w:ascii="Candara" w:hAnsi="Candara"/>
      <w:sz w:val="16"/>
    </w:rPr>
  </w:style>
  <w:style w:type="character" w:customStyle="1" w:styleId="StylebeafCar">
    <w:name w:val="Stylebeaf Car"/>
    <w:basedOn w:val="Policepardfaut"/>
    <w:link w:val="Stylebeaf"/>
    <w:rsid w:val="009471D5"/>
    <w:rPr>
      <w:rFonts w:ascii="Candara" w:hAnsi="Candara" w:cs="Sakkal Majalla"/>
      <w:color w:val="365F91" w:themeColor="accent1" w:themeShade="BF"/>
      <w:sz w:val="16"/>
      <w:szCs w:val="20"/>
      <w:lang w:eastAsia="ar-MA"/>
    </w:rPr>
  </w:style>
  <w:style w:type="paragraph" w:customStyle="1" w:styleId="Stylebeaa">
    <w:name w:val="Stylebeaa"/>
    <w:basedOn w:val="Normal"/>
    <w:link w:val="StylebeaaCar"/>
    <w:rsid w:val="009471D5"/>
    <w:pPr>
      <w:bidi/>
      <w:spacing w:after="0"/>
      <w:jc w:val="center"/>
    </w:pPr>
    <w:rPr>
      <w:rFonts w:ascii="Sakkal Majalla" w:hAnsi="Sakkal Majalla" w:cs="Sakkal Majalla"/>
      <w:color w:val="365F91" w:themeColor="accent1" w:themeShade="BF"/>
      <w:sz w:val="20"/>
      <w:szCs w:val="20"/>
      <w:lang w:eastAsia="ar-MA"/>
    </w:rPr>
  </w:style>
  <w:style w:type="character" w:customStyle="1" w:styleId="StylebeaaCar">
    <w:name w:val="Stylebeaa Car"/>
    <w:basedOn w:val="Policepardfaut"/>
    <w:link w:val="Stylebeaa"/>
    <w:rsid w:val="009471D5"/>
    <w:rPr>
      <w:rFonts w:ascii="Sakkal Majalla" w:hAnsi="Sakkal Majalla" w:cs="Sakkal Majalla"/>
      <w:color w:val="365F91" w:themeColor="accent1" w:themeShade="BF"/>
      <w:sz w:val="20"/>
      <w:szCs w:val="20"/>
      <w:lang w:eastAsia="ar-MA"/>
    </w:rPr>
  </w:style>
  <w:style w:type="paragraph" w:customStyle="1" w:styleId="ST10">
    <w:name w:val="ST10"/>
    <w:basedOn w:val="Normal"/>
    <w:link w:val="ST10Car"/>
    <w:rsid w:val="00ED654C"/>
    <w:pPr>
      <w:framePr w:hSpace="141" w:wrap="around" w:vAnchor="text" w:hAnchor="margin" w:xAlign="right" w:y="-3"/>
      <w:bidi/>
      <w:spacing w:after="0"/>
      <w:suppressOverlap/>
      <w:jc w:val="both"/>
    </w:pPr>
    <w:rPr>
      <w:rFonts w:cs="Sakkal Majalla"/>
      <w:bCs/>
      <w:szCs w:val="26"/>
    </w:rPr>
  </w:style>
  <w:style w:type="character" w:customStyle="1" w:styleId="ST10Car">
    <w:name w:val="ST10 Car"/>
    <w:basedOn w:val="Policepardfaut"/>
    <w:link w:val="ST10"/>
    <w:rsid w:val="00ED654C"/>
    <w:rPr>
      <w:rFonts w:cs="Sakkal Majalla"/>
      <w:bCs/>
      <w:szCs w:val="26"/>
    </w:rPr>
  </w:style>
  <w:style w:type="paragraph" w:customStyle="1" w:styleId="ST11">
    <w:name w:val="ST11"/>
    <w:basedOn w:val="Normal"/>
    <w:link w:val="ST11Car"/>
    <w:rsid w:val="00ED654C"/>
    <w:pPr>
      <w:framePr w:hSpace="141" w:wrap="around" w:vAnchor="text" w:hAnchor="margin" w:xAlign="right" w:y="-3"/>
      <w:bidi/>
      <w:spacing w:after="0"/>
      <w:suppressOverlap/>
      <w:jc w:val="both"/>
    </w:pPr>
    <w:rPr>
      <w:rFonts w:ascii="Sakkal Majalla" w:hAnsi="Sakkal Majalla" w:cs="Sakkal Majalla"/>
      <w:sz w:val="26"/>
      <w:szCs w:val="26"/>
    </w:rPr>
  </w:style>
  <w:style w:type="character" w:customStyle="1" w:styleId="ST11Car">
    <w:name w:val="ST11 Car"/>
    <w:basedOn w:val="Policepardfaut"/>
    <w:link w:val="ST11"/>
    <w:rsid w:val="00ED654C"/>
    <w:rPr>
      <w:rFonts w:ascii="Sakkal Majalla" w:hAnsi="Sakkal Majalla" w:cs="Sakkal Majalla"/>
      <w:sz w:val="26"/>
      <w:szCs w:val="26"/>
    </w:rPr>
  </w:style>
  <w:style w:type="paragraph" w:customStyle="1" w:styleId="AA1">
    <w:name w:val="AA1"/>
    <w:basedOn w:val="AA2"/>
    <w:link w:val="AA1Car"/>
    <w:rsid w:val="00ED654C"/>
    <w:pPr>
      <w:framePr w:wrap="around"/>
    </w:pPr>
    <w:rPr>
      <w:b/>
    </w:rPr>
  </w:style>
  <w:style w:type="character" w:customStyle="1" w:styleId="AA1Car">
    <w:name w:val="AA1 Car"/>
    <w:basedOn w:val="Policepardfaut"/>
    <w:link w:val="AA1"/>
    <w:rsid w:val="00ED654C"/>
    <w:rPr>
      <w:rFonts w:ascii="Sakkal Majalla" w:hAnsi="Sakkal Majalla" w:cs="Sakkal Majalla"/>
      <w:b/>
      <w:sz w:val="26"/>
      <w:szCs w:val="26"/>
    </w:rPr>
  </w:style>
  <w:style w:type="paragraph" w:customStyle="1" w:styleId="AA2">
    <w:name w:val="AA2"/>
    <w:basedOn w:val="ST11"/>
    <w:link w:val="AA2Car"/>
    <w:rsid w:val="00ED654C"/>
    <w:pPr>
      <w:framePr w:wrap="around"/>
    </w:pPr>
  </w:style>
  <w:style w:type="character" w:customStyle="1" w:styleId="AA2Car">
    <w:name w:val="AA2 Car"/>
    <w:basedOn w:val="ST11Car"/>
    <w:link w:val="AA2"/>
    <w:rsid w:val="00ED654C"/>
    <w:rPr>
      <w:rFonts w:ascii="Sakkal Majalla" w:hAnsi="Sakkal Majalla" w:cs="Sakkal Majalla"/>
      <w:sz w:val="26"/>
      <w:szCs w:val="26"/>
    </w:rPr>
  </w:style>
  <w:style w:type="paragraph" w:customStyle="1" w:styleId="a">
    <w:name w:val="ضضضضض"/>
    <w:basedOn w:val="Normal"/>
    <w:link w:val="Car"/>
    <w:rsid w:val="00ED654C"/>
    <w:pPr>
      <w:framePr w:hSpace="141" w:wrap="around" w:vAnchor="text" w:hAnchor="margin" w:xAlign="right" w:y="-3"/>
      <w:tabs>
        <w:tab w:val="left" w:pos="5529"/>
      </w:tabs>
      <w:bidi/>
      <w:spacing w:after="0"/>
      <w:suppressOverlap/>
      <w:jc w:val="center"/>
    </w:pPr>
    <w:rPr>
      <w:rFonts w:ascii="Sakkal Majalla" w:hAnsi="Sakkal Majalla" w:cs="Sakkal Majalla"/>
      <w:color w:val="365F91" w:themeColor="accent1" w:themeShade="BF"/>
      <w:sz w:val="20"/>
      <w:szCs w:val="20"/>
      <w:lang w:eastAsia="ar-MA"/>
    </w:rPr>
  </w:style>
  <w:style w:type="character" w:customStyle="1" w:styleId="Car">
    <w:name w:val="ضضضضض Car"/>
    <w:basedOn w:val="Policepardfaut"/>
    <w:link w:val="a"/>
    <w:rsid w:val="00ED654C"/>
    <w:rPr>
      <w:rFonts w:ascii="Sakkal Majalla" w:hAnsi="Sakkal Majalla" w:cs="Sakkal Majalla"/>
      <w:color w:val="365F91" w:themeColor="accent1" w:themeShade="BF"/>
      <w:sz w:val="20"/>
      <w:szCs w:val="20"/>
      <w:lang w:eastAsia="ar-MA"/>
    </w:rPr>
  </w:style>
  <w:style w:type="paragraph" w:customStyle="1" w:styleId="Par12">
    <w:name w:val="Par12"/>
    <w:basedOn w:val="Normal"/>
    <w:link w:val="Par12Car"/>
    <w:qFormat/>
    <w:rsid w:val="00D0446A"/>
    <w:pPr>
      <w:spacing w:line="276" w:lineRule="auto"/>
      <w:jc w:val="both"/>
    </w:pPr>
    <w:rPr>
      <w:rFonts w:ascii="Candara" w:hAnsi="Candara"/>
      <w:bCs/>
      <w:sz w:val="24"/>
      <w:szCs w:val="24"/>
    </w:rPr>
  </w:style>
  <w:style w:type="character" w:customStyle="1" w:styleId="Par12Car">
    <w:name w:val="Par12 Car"/>
    <w:basedOn w:val="Policepardfaut"/>
    <w:link w:val="Par12"/>
    <w:rsid w:val="00D0446A"/>
    <w:rPr>
      <w:rFonts w:ascii="Candara" w:hAnsi="Candara"/>
      <w:bCs/>
      <w:sz w:val="24"/>
      <w:szCs w:val="24"/>
    </w:rPr>
  </w:style>
  <w:style w:type="paragraph" w:customStyle="1" w:styleId="Par12GS">
    <w:name w:val="Par12GS"/>
    <w:basedOn w:val="Normal"/>
    <w:link w:val="Par12GSCar"/>
    <w:qFormat/>
    <w:rsid w:val="00D0446A"/>
    <w:pPr>
      <w:jc w:val="center"/>
    </w:pPr>
    <w:rPr>
      <w:rFonts w:ascii="Candara" w:hAnsi="Candara"/>
      <w:b/>
      <w:bCs/>
      <w:sz w:val="26"/>
      <w:szCs w:val="26"/>
      <w:lang w:val="en-GB"/>
    </w:rPr>
  </w:style>
  <w:style w:type="character" w:customStyle="1" w:styleId="Par12GSCar">
    <w:name w:val="Par12GS Car"/>
    <w:basedOn w:val="Policepardfaut"/>
    <w:link w:val="Par12GS"/>
    <w:rsid w:val="00D0446A"/>
    <w:rPr>
      <w:rFonts w:ascii="Candara" w:hAnsi="Candara"/>
      <w:b/>
      <w:bCs/>
      <w:sz w:val="26"/>
      <w:szCs w:val="26"/>
      <w:lang w:val="en-GB"/>
    </w:rPr>
  </w:style>
  <w:style w:type="paragraph" w:styleId="Paragraphedeliste">
    <w:name w:val="List Paragraph"/>
    <w:aliases w:val="Numbered Paragraph,Main numbered paragraph,Bullets,List Paragraph (numbered (a)),titulo 3,titulo 5,Bolita,HOJA,Párrafo de lista4,BOLADEF,Párrafo de lista21,BOLA,Nivel 1 OS,Colorful List Accent 1,Colorful List - Accent 11,Titulo 8,L"/>
    <w:basedOn w:val="Normal"/>
    <w:link w:val="ParagraphedelisteCar"/>
    <w:uiPriority w:val="34"/>
    <w:qFormat/>
    <w:rsid w:val="008A23E0"/>
    <w:pPr>
      <w:spacing w:before="60" w:after="60"/>
      <w:ind w:left="720"/>
      <w:contextualSpacing/>
      <w:jc w:val="both"/>
    </w:pPr>
    <w:rPr>
      <w:rFonts w:ascii="Times New Roman" w:eastAsia="PMingLiU" w:hAnsi="Times New Roman" w:cs="Times New Roman"/>
    </w:rPr>
  </w:style>
  <w:style w:type="character" w:customStyle="1" w:styleId="ParagraphedelisteCar">
    <w:name w:val="Paragraphe de liste Car"/>
    <w:aliases w:val="Numbered Paragraph Car,Main numbered paragraph Car,Bullets Car,List Paragraph (numbered (a)) Car,titulo 3 Car,titulo 5 Car,Bolita Car,HOJA Car,Párrafo de lista4 Car,BOLADEF Car,Párrafo de lista21 Car,BOLA Car,Nivel 1 OS Car,L Car"/>
    <w:link w:val="Paragraphedeliste"/>
    <w:uiPriority w:val="34"/>
    <w:qFormat/>
    <w:locked/>
    <w:rsid w:val="008A23E0"/>
    <w:rPr>
      <w:rFonts w:ascii="Times New Roman" w:eastAsia="PMingLiU" w:hAnsi="Times New Roman" w:cs="Times New Roman"/>
    </w:rPr>
  </w:style>
  <w:style w:type="paragraph" w:styleId="En-tte">
    <w:name w:val="header"/>
    <w:basedOn w:val="Normal"/>
    <w:link w:val="En-tteCar"/>
    <w:uiPriority w:val="99"/>
    <w:unhideWhenUsed/>
    <w:rsid w:val="00604C80"/>
    <w:pPr>
      <w:tabs>
        <w:tab w:val="center" w:pos="4513"/>
        <w:tab w:val="right" w:pos="9026"/>
      </w:tabs>
      <w:spacing w:after="0"/>
    </w:pPr>
  </w:style>
  <w:style w:type="character" w:customStyle="1" w:styleId="En-tteCar">
    <w:name w:val="En-tête Car"/>
    <w:basedOn w:val="Policepardfaut"/>
    <w:link w:val="En-tte"/>
    <w:uiPriority w:val="99"/>
    <w:rsid w:val="00604C80"/>
  </w:style>
  <w:style w:type="paragraph" w:styleId="Pieddepage">
    <w:name w:val="footer"/>
    <w:basedOn w:val="Normal"/>
    <w:link w:val="PieddepageCar"/>
    <w:uiPriority w:val="99"/>
    <w:unhideWhenUsed/>
    <w:rsid w:val="00604C80"/>
    <w:pPr>
      <w:tabs>
        <w:tab w:val="center" w:pos="4513"/>
        <w:tab w:val="right" w:pos="9026"/>
      </w:tabs>
      <w:spacing w:after="0"/>
    </w:pPr>
  </w:style>
  <w:style w:type="character" w:customStyle="1" w:styleId="PieddepageCar">
    <w:name w:val="Pied de page Car"/>
    <w:basedOn w:val="Policepardfaut"/>
    <w:link w:val="Pieddepage"/>
    <w:uiPriority w:val="99"/>
    <w:rsid w:val="0060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794">
      <w:bodyDiv w:val="1"/>
      <w:marLeft w:val="0"/>
      <w:marRight w:val="0"/>
      <w:marTop w:val="0"/>
      <w:marBottom w:val="0"/>
      <w:divBdr>
        <w:top w:val="none" w:sz="0" w:space="0" w:color="auto"/>
        <w:left w:val="none" w:sz="0" w:space="0" w:color="auto"/>
        <w:bottom w:val="none" w:sz="0" w:space="0" w:color="auto"/>
        <w:right w:val="none" w:sz="0" w:space="0" w:color="auto"/>
      </w:divBdr>
    </w:div>
    <w:div w:id="261883668">
      <w:bodyDiv w:val="1"/>
      <w:marLeft w:val="0"/>
      <w:marRight w:val="0"/>
      <w:marTop w:val="0"/>
      <w:marBottom w:val="0"/>
      <w:divBdr>
        <w:top w:val="none" w:sz="0" w:space="0" w:color="auto"/>
        <w:left w:val="none" w:sz="0" w:space="0" w:color="auto"/>
        <w:bottom w:val="none" w:sz="0" w:space="0" w:color="auto"/>
        <w:right w:val="none" w:sz="0" w:space="0" w:color="auto"/>
      </w:divBdr>
    </w:div>
    <w:div w:id="3564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2219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otman mouslim</dc:creator>
  <cp:keywords/>
  <dc:description/>
  <cp:lastModifiedBy>Oussama Chellaf</cp:lastModifiedBy>
  <cp:revision>4</cp:revision>
  <dcterms:created xsi:type="dcterms:W3CDTF">2025-08-28T13:50:00Z</dcterms:created>
  <dcterms:modified xsi:type="dcterms:W3CDTF">2025-08-28T14:29:00Z</dcterms:modified>
</cp:coreProperties>
</file>